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03:52 МСК · База обновлена: 25.07.2026, 03:37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70 лет обратился к врачу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крови и слизи со стулом.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предъявляет в течение 4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не работает, в анамнезе: ОРВИ, детские инфекции.</w:t>
      </w:r>
    </w:p>
    <w:p>
      <w:pPr>
        <w:spacing w:after="58"/>
      </w:pPr>
      <w:r>
        <w:rPr>
          <w:b w:val="0"/>
          <w:i w:val="0"/>
        </w:rPr>
        <w:t>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74 кг, рост 158 см. Температура тела 36,6℃.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Голосовое дрожание выражено умеренно, одинаково на симметричных участках грудной клетки. Сравнительная перкуссия легких: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18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53 уд в мин, АД 120/80 мм рт.ст.</w:t>
      </w:r>
    </w:p>
    <w:p>
      <w:pPr>
        <w:spacing w:after="58"/>
      </w:pPr>
      <w:r>
        <w:rPr>
          <w:b w:val="0"/>
          <w:i w:val="0"/>
        </w:rPr>
        <w:t>Живот не вздут, не напряжен, безболезненный, патологические образования через брюшную стенку не пальпируются.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качестве основного метода обследования данной пациентки на первичном приеме проктолога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пальцевого ректального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пальпации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колоноскопии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пальцевого ректального исследования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пальцевое ректальное исследование, оценка нутритивного статуса.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 целью определения распространенности опухоли,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МРТ малого таза</w:t>
      </w:r>
    </w:p>
    <w:p>
      <w:pPr>
        <w:ind w:left="504"/>
      </w:pPr>
      <w:r>
        <w:rPr>
          <w:b w:val="0"/>
          <w:i/>
        </w:rPr>
        <w:t>Рекомендуется выполнить МРТ малого таза перед планированием химиолучевой терапии и перед хирургическим лечением. МРТ малого таза позволяет определить локализацию, протяженность, глубину инвазии опухоли, оценить состояние регионарных лимфатических узлов.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колоноскопии, МРТ малого таза и гистологического исследования (биопсия) у пациентки выявлена аденокарцинома прямой кишки. С целью уточнения основного диагноза больной необходимо дополнительно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КТ грудной клетки и брюшной полости с внутривенным контрастированием</w:t>
      </w:r>
    </w:p>
    <w:p>
      <w:pPr>
        <w:ind w:left="504"/>
      </w:pPr>
      <w:r>
        <w:rPr>
          <w:b w:val="0"/>
          <w:i/>
        </w:rPr>
        <w:t>КТ органов брюшной полости и грудной клетки является стандартом уточняющей диагностики при раке прямой кишки в большинстве развитых стран.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Таким образом, пациентке можно установить предварительный диагноз по классификации TNM (8 издание) – Рак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сT4aN0M0, стадия 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сT3N0M1, стадия IIIА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сT4bN0M0, стадия IIC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сT3N1M0, стадия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сT4bN0M0, стадия IIC</w:t>
      </w:r>
    </w:p>
    <w:p>
      <w:pPr>
        <w:ind w:left="504"/>
      </w:pPr>
      <w:r>
        <w:rPr>
          <w:b w:val="0"/>
          <w:i/>
        </w:rPr>
        <w:t>Учитывая локализацию опухоли, ее гистологическое строение, прорастание всех слоев кишечной стенки, вовлечением леватора, без признаков регионарного и отдаленного метастазирования, пациенту можно установить предварительный диагноз - Рак прямой кишки, сT4bN0M0, стадия IIC.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распространенность опухолевого процесса, лечение данной пациентки следует начинать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симптоматической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 вмешательства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химиолучевой терапии</w:t>
      </w:r>
    </w:p>
    <w:p>
      <w:pPr>
        <w:ind w:left="504"/>
      </w:pPr>
      <w:r>
        <w:rPr>
          <w:b w:val="0"/>
          <w:i/>
        </w:rPr>
        <w:t>При локализованном и местнораспространенном раке прямой кишки II–III стадий (Т1-2N1-2M0, T3-4N0-2M0) рекомендуется проведение предоперационной лучевой/химиолучевой терапии и последующего радикального хирургического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проведения химиолучевой терапии пациентке необходимо проведение хирургического вмешательства в сроки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6-8</w:t>
      </w:r>
    </w:p>
    <w:p>
      <w:pPr>
        <w:ind w:left="504"/>
      </w:pPr>
      <w:r>
        <w:rPr>
          <w:b w:val="0"/>
          <w:i/>
        </w:rPr>
        <w:t>Рекомендуется пациентам после курса лучевой терапии РОД 5 Гр, СОД 25 Гр с целью достижения максимального эффекта и снижения риска осложнений соблюдать следующие сроки проведения хирургического лечения: в случае отсутствия консолидирующей ХТ – не ранее 6 и не позднее 8 недель после завершения, в случае проведения консолидирующей ХТ – не позднее 20 недель с момента её завершения.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Таким образом, пациентке показано выполнение оперативного вмешательства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трансанального эндомикрохирургического удаления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экстралеваторной брюшно-промежностной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брюшно-анальной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 передней резекции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экстралеваторной брюшно-промежностной экстирпации</w:t>
      </w:r>
    </w:p>
    <w:p>
      <w:pPr>
        <w:ind w:left="504"/>
      </w:pPr>
      <w:r>
        <w:rPr>
          <w:b w:val="0"/>
          <w:i/>
        </w:rPr>
        <w:t>Выполнение экстралеваторной экстирпации прямой кишки показано пациентам с подтверждённым МРТ врастанием опухоли в мышцы тазового дна.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стадию заболевания,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повторного оперативного вмешательства с резекцией зоны анастомоза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адъювантной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послеоперационной химиолучевой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адъювантной химиотерапии</w:t>
      </w:r>
    </w:p>
    <w:p>
      <w:pPr>
        <w:ind w:left="504"/>
      </w:pPr>
      <w:r>
        <w:rPr>
          <w:b w:val="0"/>
          <w:i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FOLFIRI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капецитабин в монорежиме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De Gramont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XELOX/FOLFOX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XELOX/FOLFOX</w:t>
      </w:r>
    </w:p>
    <w:p>
      <w:pPr>
        <w:ind w:left="504"/>
      </w:pPr>
      <w:r>
        <w:rPr>
          <w:b w:val="0"/>
          <w:i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 осмотр проктолога в первые 2 года после операции каждые +___+ (мес)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3-6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прямой кишки: в первые 1-2 года физикальный осмотр и сбор жалоб рекомендуется проводить каждые 3-6 месяцев.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 осмотр онкопроктолога на сроке после 2-х лет после операции один раз в +______+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прямой кишки: на сроке 3-5 лет - 1 раз в 6-12 месяцев. После 5 лет с момента операции визиты проводятся ежегодно или при появлении жалоб.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Пациентке каждые три месяца в течение первых двух лет после операции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крови на онкомаркеры - РЭА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грудной клетки, брюшной полости и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анализ крови на онкомаркеры - РЭА</w:t>
      </w:r>
    </w:p>
    <w:p>
      <w:pPr>
        <w:ind w:left="504"/>
      </w:pPr>
      <w:r>
        <w:rPr>
          <w:b w:val="0"/>
          <w:i/>
        </w:rPr>
        <w:t>Частота проведения МРТ органов малого таза при отсутствии подозрения на рецидив (данные пальцевого исследования, рост РЭА и т.д.) обычно не превышает 1 раза в год.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54_4/" TargetMode="External"/><Relationship Id="rId21" Type="http://schemas.openxmlformats.org/officeDocument/2006/relationships/hyperlink" Target="https://library.mededtech.ru/rest/documents/KP554_4/#list_item_u5tt8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54_4/#list_item_g1467r" TargetMode="External"/><Relationship Id="rId24" Type="http://schemas.openxmlformats.org/officeDocument/2006/relationships/hyperlink" Target="https://library.mededtech.ru/rest/documents/KP554_4/#paragraph_mqe3vr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554_4/#list_item_uqk6de" TargetMode="External"/><Relationship Id="rId27" Type="http://schemas.openxmlformats.org/officeDocument/2006/relationships/hyperlink" Target="https://library.mededtech.ru/rest/documents/KP554_4/#list_item_rphep9" TargetMode="External"/><Relationship Id="rId28" Type="http://schemas.openxmlformats.org/officeDocument/2006/relationships/hyperlink" Target="https://library.mededtech.ru/rest/documents/KP554_4/#paragraph_67ebfv" TargetMode="External"/><Relationship Id="rId29" Type="http://schemas.openxmlformats.org/officeDocument/2006/relationships/hyperlink" Target="https://library.mededtech.ru/rest/documents/KP554_4/#table1" TargetMode="External"/><Relationship Id="rId30" Type="http://schemas.openxmlformats.org/officeDocument/2006/relationships/hyperlink" Target="https://library.mededtech.ru/rest/documents/KP554_4/#list_item_ppqvg6" TargetMode="External"/><Relationship Id="rId31" Type="http://schemas.openxmlformats.org/officeDocument/2006/relationships/hyperlink" Target="https://library.mededtech.ru/rest/documents/KP554_4/#list_item_tl6d9g" TargetMode="External"/><Relationship Id="rId32" Type="http://schemas.openxmlformats.org/officeDocument/2006/relationships/hyperlink" Target="https://library.mededtech.ru/rest/documents/KP554_4/#paragraph_rl7prb" TargetMode="External"/><Relationship Id="rId33" Type="http://schemas.openxmlformats.org/officeDocument/2006/relationships/hyperlink" Target="https://library.mededtech.ru/rest/documents/KP554_4/#paragraph_pig4i1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KP554_4/#list_item_d26drc" TargetMode="External"/><Relationship Id="rId36" Type="http://schemas.openxmlformats.org/officeDocument/2006/relationships/hyperlink" Target="https://library.mededtech.ru/rest/documents/KP554_4/#paragraph_bih6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